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left"/>
        <w:rPr>
          <w:rFonts w:ascii="Red Hat Display" w:cs="Red Hat Display" w:eastAsia="Red Hat Display" w:hAnsi="Red Hat Display"/>
          <w:b w:val="1"/>
          <w:bCs w:val="1"/>
          <w:sz w:val="30"/>
          <w:szCs w:val="30"/>
          <w:u w:val="single"/>
        </w:rPr>
      </w:pPr>
      <w:bookmarkStart w:colFirst="0" w:colLast="0" w:name="_3p9k7hlg5w9y" w:id="0"/>
      <w:bookmarkEnd w:id="0"/>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jc w:val="center"/>
        <w:rPr>
          <w:rFonts w:ascii="Red Hat Display" w:cs="Red Hat Display" w:eastAsia="Red Hat Display" w:hAnsi="Red Hat Display"/>
          <w:b w:val="1"/>
          <w:bCs w:val="1"/>
          <w:sz w:val="40"/>
          <w:szCs w:val="40"/>
        </w:rPr>
      </w:pPr>
      <w:bookmarkStart w:colFirst="0" w:colLast="0" w:name="_6v29j6tcbvls" w:id="1"/>
      <w:bookmarkEnd w:id="1"/>
      <w:r w:rsidDel="00000000" w:rsidR="00000000" w:rsidRPr="00000000">
        <w:rPr>
          <w:rFonts w:ascii="Red Hat Display" w:cs="Red Hat Display" w:eastAsia="Red Hat Display" w:hAnsi="Red Hat Display"/>
          <w:b w:val="1"/>
          <w:bCs w:val="1"/>
          <w:sz w:val="40"/>
          <w:szCs w:val="40"/>
          <w:u w:val="single"/>
          <w:rtl w:val="0"/>
        </w:rPr>
        <w:t xml:space="preserve">Agenda and Presentation Content Guide</w:t>
      </w:r>
      <w:r w:rsidDel="00000000" w:rsidR="00000000" w:rsidRPr="00000000">
        <w:rPr>
          <w:rFonts w:ascii="Red Hat Display" w:cs="Red Hat Display" w:eastAsia="Red Hat Display" w:hAnsi="Red Hat Display"/>
          <w:b w:val="1"/>
          <w:bCs w:val="1"/>
          <w:sz w:val="40"/>
          <w:szCs w:val="40"/>
          <w:rtl w:val="0"/>
        </w:rPr>
        <w:t xml:space="preserve"> </w:t>
      </w:r>
    </w:p>
    <w:p w:rsidR="00000000" w:rsidDel="00000000" w:rsidP="00000000" w:rsidRDefault="00000000" w:rsidRPr="00000000" w14:paraId="00000004">
      <w:pPr>
        <w:pStyle w:val="Title"/>
        <w:jc w:val="center"/>
        <w:rPr>
          <w:rFonts w:ascii="Red Hat Display" w:cs="Red Hat Display" w:eastAsia="Red Hat Display" w:hAnsi="Red Hat Display"/>
          <w:sz w:val="40"/>
          <w:szCs w:val="40"/>
        </w:rPr>
      </w:pPr>
      <w:bookmarkStart w:colFirst="0" w:colLast="0" w:name="_pqpirw3d0a68" w:id="2"/>
      <w:bookmarkEnd w:id="2"/>
      <w:r w:rsidDel="00000000" w:rsidR="00000000" w:rsidRPr="00000000">
        <w:rPr>
          <w:rFonts w:ascii="Red Hat Display" w:cs="Red Hat Display" w:eastAsia="Red Hat Display" w:hAnsi="Red Hat Display"/>
          <w:sz w:val="40"/>
          <w:szCs w:val="40"/>
          <w:rtl w:val="0"/>
        </w:rPr>
        <w:t xml:space="preserve">“Spring 2026 Townhall: Beyond the Classroom: Centering Student Perspectives”</w:t>
      </w:r>
    </w:p>
    <w:p w:rsidR="00000000" w:rsidDel="00000000" w:rsidP="00000000" w:rsidRDefault="00000000" w:rsidRPr="00000000" w14:paraId="00000005">
      <w:pPr>
        <w:jc w:val="center"/>
        <w:rPr>
          <w:rFonts w:ascii="Red Hat Display" w:cs="Red Hat Display" w:eastAsia="Red Hat Display" w:hAnsi="Red Hat Display"/>
          <w:sz w:val="28"/>
          <w:szCs w:val="28"/>
        </w:rPr>
      </w:pPr>
      <w:hyperlink r:id="rId6">
        <w:r w:rsidDel="00000000" w:rsidR="00000000" w:rsidRPr="00000000">
          <w:rPr>
            <w:rFonts w:ascii="Red Hat Display" w:cs="Red Hat Display" w:eastAsia="Red Hat Display" w:hAnsi="Red Hat Display"/>
            <w:color w:val="1155cc"/>
            <w:sz w:val="28"/>
            <w:szCs w:val="28"/>
            <w:u w:val="single"/>
            <w:rtl w:val="0"/>
          </w:rPr>
          <w:t xml:space="preserve">[SPRING 2026 TOWNHALL PRESENTATION]</w:t>
        </w:r>
      </w:hyperlink>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Welcome </w:t>
      </w:r>
    </w:p>
    <w:p w:rsidR="00000000" w:rsidDel="00000000" w:rsidP="00000000" w:rsidRDefault="00000000" w:rsidRPr="00000000" w14:paraId="00000008">
      <w:pPr>
        <w:ind w:left="72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Before We Start</w:t>
      </w:r>
    </w:p>
    <w:p w:rsidR="00000000" w:rsidDel="00000000" w:rsidP="00000000" w:rsidRDefault="00000000" w:rsidRPr="00000000" w14:paraId="0000000A">
      <w:pPr>
        <w:numPr>
          <w:ilvl w:val="1"/>
          <w:numId w:val="1"/>
        </w:numPr>
        <w:ind w:left="144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Share in the chat:  How do we remove barriers to disclosure for students with disabilities in higher education?</w:t>
      </w:r>
    </w:p>
    <w:p w:rsidR="00000000" w:rsidDel="00000000" w:rsidP="00000000" w:rsidRDefault="00000000" w:rsidRPr="00000000" w14:paraId="0000000B">
      <w:pPr>
        <w:numPr>
          <w:ilvl w:val="1"/>
          <w:numId w:val="1"/>
        </w:numPr>
        <w:ind w:left="144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We are recording this event: All recordings will be available on our YouTube in the event you can’t stay the entire hour.</w:t>
      </w:r>
    </w:p>
    <w:p w:rsidR="00000000" w:rsidDel="00000000" w:rsidP="00000000" w:rsidRDefault="00000000" w:rsidRPr="00000000" w14:paraId="0000000C">
      <w:pPr>
        <w:numPr>
          <w:ilvl w:val="1"/>
          <w:numId w:val="1"/>
        </w:numPr>
        <w:ind w:left="144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Your camera + microphone are turned off: For your convenience we have disabled all but the necessary features for this event.</w:t>
      </w:r>
    </w:p>
    <w:p w:rsidR="00000000" w:rsidDel="00000000" w:rsidP="00000000" w:rsidRDefault="00000000" w:rsidRPr="00000000" w14:paraId="0000000D">
      <w:pPr>
        <w:numPr>
          <w:ilvl w:val="1"/>
          <w:numId w:val="1"/>
        </w:numPr>
        <w:ind w:left="144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ASL and CART captions provided; More accessibility tips can be found on the event confirmation email or Event Access Page.</w:t>
      </w:r>
    </w:p>
    <w:p w:rsidR="00000000" w:rsidDel="00000000" w:rsidP="00000000" w:rsidRDefault="00000000" w:rsidRPr="00000000" w14:paraId="0000000E">
      <w:pPr>
        <w:numPr>
          <w:ilvl w:val="2"/>
          <w:numId w:val="1"/>
        </w:numPr>
        <w:ind w:left="2160" w:hanging="360"/>
        <w:rPr>
          <w:rFonts w:ascii="Quicksand" w:cs="Quicksand" w:eastAsia="Quicksand" w:hAnsi="Quicksand"/>
          <w:sz w:val="28"/>
          <w:szCs w:val="28"/>
          <w:u w:val="none"/>
        </w:rPr>
      </w:pPr>
      <w:hyperlink r:id="rId7">
        <w:r w:rsidDel="00000000" w:rsidR="00000000" w:rsidRPr="00000000">
          <w:rPr>
            <w:rFonts w:ascii="Quicksand" w:cs="Quicksand" w:eastAsia="Quicksand" w:hAnsi="Quicksand"/>
            <w:color w:val="1155cc"/>
            <w:sz w:val="28"/>
            <w:szCs w:val="28"/>
            <w:u w:val="single"/>
            <w:rtl w:val="0"/>
          </w:rPr>
          <w:t xml:space="preserve">https://nationaldisabilitycenter.org/event-access/</w:t>
        </w:r>
      </w:hyperlink>
      <w:r w:rsidDel="00000000" w:rsidR="00000000" w:rsidRPr="00000000">
        <w:rPr>
          <w:rFonts w:ascii="Quicksand" w:cs="Quicksand" w:eastAsia="Quicksand" w:hAnsi="Quicksand"/>
          <w:sz w:val="28"/>
          <w:szCs w:val="28"/>
          <w:rtl w:val="0"/>
        </w:rPr>
        <w:t xml:space="preserve"> </w:t>
      </w:r>
    </w:p>
    <w:p w:rsidR="00000000" w:rsidDel="00000000" w:rsidP="00000000" w:rsidRDefault="00000000" w:rsidRPr="00000000" w14:paraId="0000000F">
      <w:pPr>
        <w:numPr>
          <w:ilvl w:val="1"/>
          <w:numId w:val="1"/>
        </w:numPr>
        <w:ind w:left="144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Please be respectful: Chats are monitored.  We will respond to all questions during our Q&amp;A section of the event.</w:t>
      </w:r>
    </w:p>
    <w:p w:rsidR="00000000" w:rsidDel="00000000" w:rsidP="00000000" w:rsidRDefault="00000000" w:rsidRPr="00000000" w14:paraId="00000010">
      <w:pPr>
        <w:ind w:left="72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Agenda</w:t>
      </w:r>
    </w:p>
    <w:p w:rsidR="00000000" w:rsidDel="00000000" w:rsidP="00000000" w:rsidRDefault="00000000" w:rsidRPr="00000000" w14:paraId="00000012">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Welcome and What’s New at the Center </w:t>
      </w:r>
    </w:p>
    <w:p w:rsidR="00000000" w:rsidDel="00000000" w:rsidP="00000000" w:rsidRDefault="00000000" w:rsidRPr="00000000" w14:paraId="00000013">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Deep Dive: Building Our Understanding of Disclosure</w:t>
      </w:r>
    </w:p>
    <w:p w:rsidR="00000000" w:rsidDel="00000000" w:rsidP="00000000" w:rsidRDefault="00000000" w:rsidRPr="00000000" w14:paraId="00000014">
      <w:pPr>
        <w:numPr>
          <w:ilvl w:val="2"/>
          <w:numId w:val="1"/>
        </w:numPr>
        <w:ind w:left="216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What we know so far</w:t>
      </w:r>
    </w:p>
    <w:p w:rsidR="00000000" w:rsidDel="00000000" w:rsidP="00000000" w:rsidRDefault="00000000" w:rsidRPr="00000000" w14:paraId="00000015">
      <w:pPr>
        <w:numPr>
          <w:ilvl w:val="2"/>
          <w:numId w:val="1"/>
        </w:numPr>
        <w:ind w:left="216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What our next study will focus on</w:t>
      </w:r>
    </w:p>
    <w:p w:rsidR="00000000" w:rsidDel="00000000" w:rsidP="00000000" w:rsidRDefault="00000000" w:rsidRPr="00000000" w14:paraId="00000016">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The Current Status of Accessibility in American Higher Education​</w:t>
      </w:r>
    </w:p>
    <w:p w:rsidR="00000000" w:rsidDel="00000000" w:rsidP="00000000" w:rsidRDefault="00000000" w:rsidRPr="00000000" w14:paraId="00000017">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Student Panel Discussion : Soren, MA,  Jaxsen Day, MA, Ife Adekoya</w:t>
      </w:r>
    </w:p>
    <w:p w:rsidR="00000000" w:rsidDel="00000000" w:rsidP="00000000" w:rsidRDefault="00000000" w:rsidRPr="00000000" w14:paraId="00000018">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Your Input on Disclosure Decision Factors</w:t>
      </w:r>
    </w:p>
    <w:p w:rsidR="00000000" w:rsidDel="00000000" w:rsidP="00000000" w:rsidRDefault="00000000" w:rsidRPr="00000000" w14:paraId="00000019">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Conclusion + Feedback​</w:t>
      </w:r>
    </w:p>
    <w:p w:rsidR="00000000" w:rsidDel="00000000" w:rsidP="00000000" w:rsidRDefault="00000000" w:rsidRPr="00000000" w14:paraId="0000001A">
      <w:pPr>
        <w:ind w:left="144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1B">
      <w:pPr>
        <w:numPr>
          <w:ilvl w:val="0"/>
          <w:numId w:val="1"/>
        </w:numPr>
        <w:ind w:left="72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What’s New</w:t>
      </w:r>
    </w:p>
    <w:p w:rsidR="00000000" w:rsidDel="00000000" w:rsidP="00000000" w:rsidRDefault="00000000" w:rsidRPr="00000000" w14:paraId="0000001C">
      <w:pPr>
        <w:ind w:left="144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1D">
      <w:pPr>
        <w:numPr>
          <w:ilvl w:val="0"/>
          <w:numId w:val="1"/>
        </w:numPr>
        <w:ind w:left="72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Foundations on Disabled Students in U.S. Higher Education </w:t>
      </w:r>
    </w:p>
    <w:p w:rsidR="00000000" w:rsidDel="00000000" w:rsidP="00000000" w:rsidRDefault="00000000" w:rsidRPr="00000000" w14:paraId="0000001E">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Understand Disability - Learn key research on disabled students in U.S. higher education.</w:t>
      </w:r>
    </w:p>
    <w:p w:rsidR="00000000" w:rsidDel="00000000" w:rsidP="00000000" w:rsidRDefault="00000000" w:rsidRPr="00000000" w14:paraId="0000001F">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Explore Data - Examine national findings and Campus Accessibility Measure insights.</w:t>
      </w:r>
    </w:p>
    <w:p w:rsidR="00000000" w:rsidDel="00000000" w:rsidP="00000000" w:rsidRDefault="00000000" w:rsidRPr="00000000" w14:paraId="00000020">
      <w:pPr>
        <w:numPr>
          <w:ilvl w:val="1"/>
          <w:numId w:val="1"/>
        </w:numPr>
        <w:ind w:left="144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Apply Strategies - Turn research into practical approaches for accessible classrooms.</w:t>
      </w:r>
    </w:p>
    <w:p w:rsidR="00000000" w:rsidDel="00000000" w:rsidP="00000000" w:rsidRDefault="00000000" w:rsidRPr="00000000" w14:paraId="00000021">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Course Module 1 Registration</w:t>
      </w:r>
    </w:p>
    <w:p w:rsidR="00000000" w:rsidDel="00000000" w:rsidP="00000000" w:rsidRDefault="00000000" w:rsidRPr="00000000" w14:paraId="00000022">
      <w:pPr>
        <w:numPr>
          <w:ilvl w:val="2"/>
          <w:numId w:val="1"/>
        </w:numPr>
        <w:ind w:left="2160" w:hanging="360"/>
        <w:rPr>
          <w:rFonts w:ascii="Quicksand" w:cs="Quicksand" w:eastAsia="Quicksand" w:hAnsi="Quicksand"/>
          <w:sz w:val="28"/>
          <w:szCs w:val="28"/>
        </w:rPr>
      </w:pPr>
      <w:hyperlink r:id="rId8">
        <w:r w:rsidDel="00000000" w:rsidR="00000000" w:rsidRPr="00000000">
          <w:rPr>
            <w:rFonts w:ascii="Quicksand" w:cs="Quicksand" w:eastAsia="Quicksand" w:hAnsi="Quicksand"/>
            <w:color w:val="1155cc"/>
            <w:sz w:val="28"/>
            <w:szCs w:val="28"/>
            <w:u w:val="single"/>
            <w:rtl w:val="0"/>
          </w:rPr>
          <w:t xml:space="preserve">https://nationaldisabilitycenter.org/courses/module-one-foundations-on-disabled-students-in-higher-education-in-the-u-s/</w:t>
        </w:r>
      </w:hyperlink>
      <w:r w:rsidDel="00000000" w:rsidR="00000000" w:rsidRPr="00000000">
        <w:rPr>
          <w:rFonts w:ascii="Quicksand" w:cs="Quicksand" w:eastAsia="Quicksand" w:hAnsi="Quicksand"/>
          <w:sz w:val="28"/>
          <w:szCs w:val="28"/>
          <w:rtl w:val="0"/>
        </w:rPr>
        <w:t xml:space="preserve"> </w:t>
      </w:r>
    </w:p>
    <w:p w:rsidR="00000000" w:rsidDel="00000000" w:rsidP="00000000" w:rsidRDefault="00000000" w:rsidRPr="00000000" w14:paraId="00000023">
      <w:pPr>
        <w:ind w:left="144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24">
      <w:pPr>
        <w:numPr>
          <w:ilvl w:val="0"/>
          <w:numId w:val="1"/>
        </w:numPr>
        <w:ind w:left="72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10 Study Sets to Support Disabled Student Success</w:t>
      </w:r>
    </w:p>
    <w:p w:rsidR="00000000" w:rsidDel="00000000" w:rsidP="00000000" w:rsidRDefault="00000000" w:rsidRPr="00000000" w14:paraId="00000025">
      <w:pPr>
        <w:numPr>
          <w:ilvl w:val="1"/>
          <w:numId w:val="1"/>
        </w:numPr>
        <w:ind w:left="1440" w:hanging="360"/>
        <w:rPr>
          <w:rFonts w:ascii="Quicksand" w:cs="Quicksand" w:eastAsia="Quicksand" w:hAnsi="Quicksand"/>
          <w:sz w:val="28"/>
          <w:szCs w:val="28"/>
        </w:rPr>
      </w:pPr>
      <w:hyperlink r:id="rId9">
        <w:r w:rsidDel="00000000" w:rsidR="00000000" w:rsidRPr="00000000">
          <w:rPr>
            <w:rFonts w:ascii="Quicksand" w:cs="Quicksand" w:eastAsia="Quicksand" w:hAnsi="Quicksand"/>
            <w:color w:val="1155cc"/>
            <w:sz w:val="28"/>
            <w:szCs w:val="28"/>
            <w:u w:val="single"/>
            <w:rtl w:val="0"/>
          </w:rPr>
          <w:t xml:space="preserve">https://nationaldisabilitycenter.org/research/</w:t>
        </w:r>
      </w:hyperlink>
      <w:r w:rsidDel="00000000" w:rsidR="00000000" w:rsidRPr="00000000">
        <w:rPr>
          <w:rFonts w:ascii="Quicksand" w:cs="Quicksand" w:eastAsia="Quicksand" w:hAnsi="Quicksand"/>
          <w:sz w:val="28"/>
          <w:szCs w:val="28"/>
          <w:rtl w:val="0"/>
        </w:rPr>
        <w:t xml:space="preserve"> </w:t>
      </w:r>
    </w:p>
    <w:p w:rsidR="00000000" w:rsidDel="00000000" w:rsidP="00000000" w:rsidRDefault="00000000" w:rsidRPr="00000000" w14:paraId="00000026">
      <w:pPr>
        <w:ind w:left="216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27">
      <w:pPr>
        <w:numPr>
          <w:ilvl w:val="0"/>
          <w:numId w:val="1"/>
        </w:numPr>
        <w:ind w:left="72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Campus Accessibility Spotlight Series</w:t>
      </w:r>
    </w:p>
    <w:p w:rsidR="00000000" w:rsidDel="00000000" w:rsidP="00000000" w:rsidRDefault="00000000" w:rsidRPr="00000000" w14:paraId="00000028">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Campus Spotlight | Strengthening Field Placement Accessibility</w:t>
      </w:r>
    </w:p>
    <w:p w:rsidR="00000000" w:rsidDel="00000000" w:rsidP="00000000" w:rsidRDefault="00000000" w:rsidRPr="00000000" w14:paraId="00000029">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Campus Spotlight | Centering Accessibility in Faculty Development</w:t>
      </w:r>
    </w:p>
    <w:p w:rsidR="00000000" w:rsidDel="00000000" w:rsidP="00000000" w:rsidRDefault="00000000" w:rsidRPr="00000000" w14:paraId="0000002A">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Campus Spotlight | Advancing Retention Through Accessibility</w:t>
      </w:r>
    </w:p>
    <w:p w:rsidR="00000000" w:rsidDel="00000000" w:rsidP="00000000" w:rsidRDefault="00000000" w:rsidRPr="00000000" w14:paraId="0000002B">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Read Spotlights</w:t>
      </w:r>
    </w:p>
    <w:p w:rsidR="00000000" w:rsidDel="00000000" w:rsidP="00000000" w:rsidRDefault="00000000" w:rsidRPr="00000000" w14:paraId="0000002C">
      <w:pPr>
        <w:numPr>
          <w:ilvl w:val="2"/>
          <w:numId w:val="1"/>
        </w:numPr>
        <w:ind w:left="2160" w:hanging="360"/>
        <w:rPr>
          <w:rFonts w:ascii="Quicksand" w:cs="Quicksand" w:eastAsia="Quicksand" w:hAnsi="Quicksand"/>
          <w:sz w:val="28"/>
          <w:szCs w:val="28"/>
        </w:rPr>
      </w:pPr>
      <w:hyperlink r:id="rId10">
        <w:r w:rsidDel="00000000" w:rsidR="00000000" w:rsidRPr="00000000">
          <w:rPr>
            <w:rFonts w:ascii="Quicksand" w:cs="Quicksand" w:eastAsia="Quicksand" w:hAnsi="Quicksand"/>
            <w:color w:val="1155cc"/>
            <w:sz w:val="28"/>
            <w:szCs w:val="28"/>
            <w:u w:val="single"/>
            <w:rtl w:val="0"/>
          </w:rPr>
          <w:t xml:space="preserve">https://nationaldisabilitycenter.org/resource-type/campus-spotlights/</w:t>
        </w:r>
      </w:hyperlink>
      <w:r w:rsidDel="00000000" w:rsidR="00000000" w:rsidRPr="00000000">
        <w:rPr>
          <w:rFonts w:ascii="Quicksand" w:cs="Quicksand" w:eastAsia="Quicksand" w:hAnsi="Quicksand"/>
          <w:sz w:val="28"/>
          <w:szCs w:val="28"/>
          <w:rtl w:val="0"/>
        </w:rPr>
        <w:t xml:space="preserve"> </w:t>
      </w:r>
      <w:r w:rsidDel="00000000" w:rsidR="00000000" w:rsidRPr="00000000">
        <w:rPr>
          <w:rtl w:val="0"/>
        </w:rPr>
      </w:r>
    </w:p>
    <w:p w:rsidR="00000000" w:rsidDel="00000000" w:rsidP="00000000" w:rsidRDefault="00000000" w:rsidRPr="00000000" w14:paraId="0000002D">
      <w:pPr>
        <w:ind w:left="216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2E">
      <w:pPr>
        <w:numPr>
          <w:ilvl w:val="0"/>
          <w:numId w:val="1"/>
        </w:numPr>
        <w:ind w:left="72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National Report on Faculty Accessibility Practices</w:t>
      </w:r>
    </w:p>
    <w:p w:rsidR="00000000" w:rsidDel="00000000" w:rsidP="00000000" w:rsidRDefault="00000000" w:rsidRPr="00000000" w14:paraId="0000002F">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Top recommendations to improve accessibility on campus</w:t>
      </w:r>
    </w:p>
    <w:p w:rsidR="00000000" w:rsidDel="00000000" w:rsidP="00000000" w:rsidRDefault="00000000" w:rsidRPr="00000000" w14:paraId="00000030">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Survey results</w:t>
      </w:r>
    </w:p>
    <w:p w:rsidR="00000000" w:rsidDel="00000000" w:rsidP="00000000" w:rsidRDefault="00000000" w:rsidRPr="00000000" w14:paraId="00000031">
      <w:pPr>
        <w:numPr>
          <w:ilvl w:val="1"/>
          <w:numId w:val="1"/>
        </w:numPr>
        <w:ind w:left="144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Faculty interviews</w:t>
      </w:r>
    </w:p>
    <w:p w:rsidR="00000000" w:rsidDel="00000000" w:rsidP="00000000" w:rsidRDefault="00000000" w:rsidRPr="00000000" w14:paraId="00000032">
      <w:pPr>
        <w:numPr>
          <w:ilvl w:val="1"/>
          <w:numId w:val="1"/>
        </w:numPr>
        <w:ind w:left="144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Download Now</w:t>
      </w:r>
    </w:p>
    <w:p w:rsidR="00000000" w:rsidDel="00000000" w:rsidP="00000000" w:rsidRDefault="00000000" w:rsidRPr="00000000" w14:paraId="00000033">
      <w:pPr>
        <w:numPr>
          <w:ilvl w:val="2"/>
          <w:numId w:val="1"/>
        </w:numPr>
        <w:ind w:left="2160" w:hanging="360"/>
        <w:rPr>
          <w:rFonts w:ascii="Quicksand" w:cs="Quicksand" w:eastAsia="Quicksand" w:hAnsi="Quicksand"/>
          <w:sz w:val="28"/>
          <w:szCs w:val="28"/>
          <w:u w:val="none"/>
        </w:rPr>
      </w:pPr>
      <w:hyperlink r:id="rId11">
        <w:r w:rsidDel="00000000" w:rsidR="00000000" w:rsidRPr="00000000">
          <w:rPr>
            <w:rFonts w:ascii="Quicksand" w:cs="Quicksand" w:eastAsia="Quicksand" w:hAnsi="Quicksand"/>
            <w:color w:val="1155cc"/>
            <w:sz w:val="28"/>
            <w:szCs w:val="28"/>
            <w:u w:val="single"/>
            <w:rtl w:val="0"/>
          </w:rPr>
          <w:t xml:space="preserve">https://nationaldisabilitycenter.org/resources/a-national-report-on-faculty-accessibility-practices/</w:t>
        </w:r>
      </w:hyperlink>
      <w:r w:rsidDel="00000000" w:rsidR="00000000" w:rsidRPr="00000000">
        <w:rPr>
          <w:rFonts w:ascii="Quicksand" w:cs="Quicksand" w:eastAsia="Quicksand" w:hAnsi="Quicksand"/>
          <w:sz w:val="28"/>
          <w:szCs w:val="28"/>
          <w:rtl w:val="0"/>
        </w:rPr>
        <w:t xml:space="preserve"> </w:t>
      </w:r>
      <w:r w:rsidDel="00000000" w:rsidR="00000000" w:rsidRPr="00000000">
        <w:rPr>
          <w:rtl w:val="0"/>
        </w:rPr>
      </w:r>
    </w:p>
    <w:p w:rsidR="00000000" w:rsidDel="00000000" w:rsidP="00000000" w:rsidRDefault="00000000" w:rsidRPr="00000000" w14:paraId="00000034">
      <w:pPr>
        <w:ind w:left="144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35">
      <w:pPr>
        <w:numPr>
          <w:ilvl w:val="0"/>
          <w:numId w:val="1"/>
        </w:numPr>
        <w:ind w:left="72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Even More Resources for Faculty!</w:t>
      </w:r>
    </w:p>
    <w:p w:rsidR="00000000" w:rsidDel="00000000" w:rsidP="00000000" w:rsidRDefault="00000000" w:rsidRPr="00000000" w14:paraId="00000036">
      <w:pPr>
        <w:numPr>
          <w:ilvl w:val="1"/>
          <w:numId w:val="1"/>
        </w:numPr>
        <w:ind w:left="144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The Accommodations Conversation: A Faculty-to-Faculty Workshop</w:t>
      </w:r>
    </w:p>
    <w:p w:rsidR="00000000" w:rsidDel="00000000" w:rsidP="00000000" w:rsidRDefault="00000000" w:rsidRPr="00000000" w14:paraId="00000037">
      <w:pPr>
        <w:numPr>
          <w:ilvl w:val="2"/>
          <w:numId w:val="1"/>
        </w:numPr>
        <w:ind w:left="2160" w:hanging="360"/>
        <w:rPr>
          <w:rFonts w:ascii="Quicksand" w:cs="Quicksand" w:eastAsia="Quicksand" w:hAnsi="Quicksand"/>
          <w:sz w:val="28"/>
          <w:szCs w:val="28"/>
          <w:u w:val="none"/>
        </w:rPr>
      </w:pPr>
      <w:hyperlink r:id="rId12">
        <w:r w:rsidDel="00000000" w:rsidR="00000000" w:rsidRPr="00000000">
          <w:rPr>
            <w:rFonts w:ascii="Quicksand" w:cs="Quicksand" w:eastAsia="Quicksand" w:hAnsi="Quicksand"/>
            <w:color w:val="1155cc"/>
            <w:sz w:val="28"/>
            <w:szCs w:val="28"/>
            <w:u w:val="single"/>
            <w:rtl w:val="0"/>
          </w:rPr>
          <w:t xml:space="preserve">https://nationaldisabilitycenter.org/resources/workshop-kit-the-accommodations-conversation/</w:t>
        </w:r>
      </w:hyperlink>
      <w:r w:rsidDel="00000000" w:rsidR="00000000" w:rsidRPr="00000000">
        <w:rPr>
          <w:rtl w:val="0"/>
        </w:rPr>
      </w:r>
    </w:p>
    <w:p w:rsidR="00000000" w:rsidDel="00000000" w:rsidP="00000000" w:rsidRDefault="00000000" w:rsidRPr="00000000" w14:paraId="00000038">
      <w:pPr>
        <w:numPr>
          <w:ilvl w:val="1"/>
          <w:numId w:val="1"/>
        </w:numPr>
        <w:ind w:left="144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Faculty Scenarios: How Instructors Respond to Accessibility Challenges</w:t>
      </w:r>
    </w:p>
    <w:p w:rsidR="00000000" w:rsidDel="00000000" w:rsidP="00000000" w:rsidRDefault="00000000" w:rsidRPr="00000000" w14:paraId="00000039">
      <w:pPr>
        <w:numPr>
          <w:ilvl w:val="2"/>
          <w:numId w:val="1"/>
        </w:numPr>
        <w:ind w:left="2160" w:hanging="360"/>
        <w:rPr>
          <w:rFonts w:ascii="Quicksand" w:cs="Quicksand" w:eastAsia="Quicksand" w:hAnsi="Quicksand"/>
          <w:sz w:val="28"/>
          <w:szCs w:val="28"/>
          <w:u w:val="none"/>
        </w:rPr>
      </w:pPr>
      <w:hyperlink r:id="rId13">
        <w:r w:rsidDel="00000000" w:rsidR="00000000" w:rsidRPr="00000000">
          <w:rPr>
            <w:rFonts w:ascii="Quicksand" w:cs="Quicksand" w:eastAsia="Quicksand" w:hAnsi="Quicksand"/>
            <w:color w:val="1155cc"/>
            <w:sz w:val="28"/>
            <w:szCs w:val="28"/>
            <w:u w:val="single"/>
            <w:rtl w:val="0"/>
          </w:rPr>
          <w:t xml:space="preserve">https://nationaldisabilitycenter.org/resources/faculty-accessibility-scenarios/</w:t>
        </w:r>
      </w:hyperlink>
      <w:r w:rsidDel="00000000" w:rsidR="00000000" w:rsidRPr="00000000">
        <w:rPr>
          <w:rFonts w:ascii="Quicksand" w:cs="Quicksand" w:eastAsia="Quicksand" w:hAnsi="Quicksand"/>
          <w:sz w:val="28"/>
          <w:szCs w:val="28"/>
          <w:rtl w:val="0"/>
        </w:rPr>
        <w:t xml:space="preserve"> </w:t>
      </w:r>
    </w:p>
    <w:p w:rsidR="00000000" w:rsidDel="00000000" w:rsidP="00000000" w:rsidRDefault="00000000" w:rsidRPr="00000000" w14:paraId="0000003A">
      <w:pPr>
        <w:ind w:left="216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3B">
      <w:pPr>
        <w:numPr>
          <w:ilvl w:val="0"/>
          <w:numId w:val="1"/>
        </w:numPr>
        <w:ind w:left="72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Deep Dive: Building our Understanding of Disclosure</w:t>
      </w:r>
    </w:p>
    <w:p w:rsidR="00000000" w:rsidDel="00000000" w:rsidP="00000000" w:rsidRDefault="00000000" w:rsidRPr="00000000" w14:paraId="0000003C">
      <w:pPr>
        <w:ind w:left="72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3D">
      <w:pPr>
        <w:numPr>
          <w:ilvl w:val="0"/>
          <w:numId w:val="1"/>
        </w:numPr>
        <w:ind w:left="72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Our Next Study is on Disability Disclosure Decision Making</w:t>
      </w:r>
    </w:p>
    <w:p w:rsidR="00000000" w:rsidDel="00000000" w:rsidP="00000000" w:rsidRDefault="00000000" w:rsidRPr="00000000" w14:paraId="0000003E">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Moving to a new study set at the National Disability Center for Student Success: Disclosure Decision Making (including the decision not to disclose information). Disclosure is central to how students obtain accommodations. Whether formally through the disability access office or informally through requests to instructors or TAs, sharing disability access needs is an integral part of many students’ higher education experiences. But first, let’s think for a moment.</w:t>
      </w:r>
    </w:p>
    <w:p w:rsidR="00000000" w:rsidDel="00000000" w:rsidP="00000000" w:rsidRDefault="00000000" w:rsidRPr="00000000" w14:paraId="0000003F">
      <w:pPr>
        <w:numPr>
          <w:ilvl w:val="2"/>
          <w:numId w:val="1"/>
        </w:numPr>
        <w:ind w:left="216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What is disclosure?</w:t>
      </w:r>
    </w:p>
    <w:p w:rsidR="00000000" w:rsidDel="00000000" w:rsidP="00000000" w:rsidRDefault="00000000" w:rsidRPr="00000000" w14:paraId="00000040">
      <w:pPr>
        <w:numPr>
          <w:ilvl w:val="2"/>
          <w:numId w:val="1"/>
        </w:numPr>
        <w:ind w:left="216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Disclosing disability information (e.g., diagnosis, disability type, length, etc.)</w:t>
      </w:r>
    </w:p>
    <w:p w:rsidR="00000000" w:rsidDel="00000000" w:rsidP="00000000" w:rsidRDefault="00000000" w:rsidRPr="00000000" w14:paraId="00000041">
      <w:pPr>
        <w:numPr>
          <w:ilvl w:val="2"/>
          <w:numId w:val="1"/>
        </w:numPr>
        <w:ind w:left="216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Disclosing disability identity (e.g., building relationships and sharing who we are)</w:t>
      </w:r>
    </w:p>
    <w:p w:rsidR="00000000" w:rsidDel="00000000" w:rsidP="00000000" w:rsidRDefault="00000000" w:rsidRPr="00000000" w14:paraId="00000042">
      <w:pPr>
        <w:numPr>
          <w:ilvl w:val="2"/>
          <w:numId w:val="1"/>
        </w:numPr>
        <w:ind w:left="216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Disclosing disability-related needs or barriers to achieving goals (e.g., accommodations or supports within education) </w:t>
      </w:r>
    </w:p>
    <w:p w:rsidR="00000000" w:rsidDel="00000000" w:rsidP="00000000" w:rsidRDefault="00000000" w:rsidRPr="00000000" w14:paraId="00000043">
      <w:pPr>
        <w:ind w:left="216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44">
      <w:pPr>
        <w:numPr>
          <w:ilvl w:val="0"/>
          <w:numId w:val="1"/>
        </w:numPr>
        <w:ind w:left="72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What we have learned about disclosure in our work so far…</w:t>
      </w:r>
    </w:p>
    <w:p w:rsidR="00000000" w:rsidDel="00000000" w:rsidP="00000000" w:rsidRDefault="00000000" w:rsidRPr="00000000" w14:paraId="00000045">
      <w:pPr>
        <w:numPr>
          <w:ilvl w:val="1"/>
          <w:numId w:val="1"/>
        </w:numPr>
        <w:ind w:left="144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In our national survey:</w:t>
      </w:r>
    </w:p>
    <w:p w:rsidR="00000000" w:rsidDel="00000000" w:rsidP="00000000" w:rsidRDefault="00000000" w:rsidRPr="00000000" w14:paraId="00000046">
      <w:pPr>
        <w:numPr>
          <w:ilvl w:val="2"/>
          <w:numId w:val="1"/>
        </w:numPr>
        <w:ind w:left="216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Half of students received a new disability diagnosis while in college</w:t>
      </w:r>
    </w:p>
    <w:p w:rsidR="00000000" w:rsidDel="00000000" w:rsidP="00000000" w:rsidRDefault="00000000" w:rsidRPr="00000000" w14:paraId="00000047">
      <w:pPr>
        <w:numPr>
          <w:ilvl w:val="2"/>
          <w:numId w:val="1"/>
        </w:numPr>
        <w:ind w:left="216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36% of students did not disclose their disability to anyone on campus</w:t>
      </w:r>
    </w:p>
    <w:p w:rsidR="00000000" w:rsidDel="00000000" w:rsidP="00000000" w:rsidRDefault="00000000" w:rsidRPr="00000000" w14:paraId="00000048">
      <w:pPr>
        <w:numPr>
          <w:ilvl w:val="2"/>
          <w:numId w:val="1"/>
        </w:numPr>
        <w:ind w:left="216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Of those who disclosed, 47% shared information with an accommodations office</w:t>
      </w:r>
    </w:p>
    <w:p w:rsidR="00000000" w:rsidDel="00000000" w:rsidP="00000000" w:rsidRDefault="00000000" w:rsidRPr="00000000" w14:paraId="00000049">
      <w:pPr>
        <w:ind w:left="216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4A">
      <w:pPr>
        <w:numPr>
          <w:ilvl w:val="0"/>
          <w:numId w:val="1"/>
        </w:numPr>
        <w:ind w:left="72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Important questions students ask themselves:</w:t>
      </w:r>
    </w:p>
    <w:p w:rsidR="00000000" w:rsidDel="00000000" w:rsidP="00000000" w:rsidRDefault="00000000" w:rsidRPr="00000000" w14:paraId="0000004B">
      <w:pPr>
        <w:numPr>
          <w:ilvl w:val="2"/>
          <w:numId w:val="1"/>
        </w:numPr>
        <w:ind w:left="216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Their needs: How will disclosing help me?</w:t>
      </w:r>
    </w:p>
    <w:p w:rsidR="00000000" w:rsidDel="00000000" w:rsidP="00000000" w:rsidRDefault="00000000" w:rsidRPr="00000000" w14:paraId="0000004C">
      <w:pPr>
        <w:numPr>
          <w:ilvl w:val="2"/>
          <w:numId w:val="1"/>
        </w:numPr>
        <w:ind w:left="216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Past disclosure experiences: Will I be stigmatized, doubted, or worse? What did I gain last time? Was it worth it?</w:t>
      </w:r>
    </w:p>
    <w:p w:rsidR="00000000" w:rsidDel="00000000" w:rsidP="00000000" w:rsidRDefault="00000000" w:rsidRPr="00000000" w14:paraId="0000004D">
      <w:pPr>
        <w:numPr>
          <w:ilvl w:val="2"/>
          <w:numId w:val="1"/>
        </w:numPr>
        <w:ind w:left="216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Power dynamics: Will they use it against me? Will it affect my grade?</w:t>
      </w:r>
    </w:p>
    <w:p w:rsidR="00000000" w:rsidDel="00000000" w:rsidP="00000000" w:rsidRDefault="00000000" w:rsidRPr="00000000" w14:paraId="0000004E">
      <w:pPr>
        <w:numPr>
          <w:ilvl w:val="2"/>
          <w:numId w:val="1"/>
        </w:numPr>
        <w:ind w:left="216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Observed attitudes and behaviors of others: Will their ableism be directed at me?</w:t>
      </w:r>
    </w:p>
    <w:p w:rsidR="00000000" w:rsidDel="00000000" w:rsidP="00000000" w:rsidRDefault="00000000" w:rsidRPr="00000000" w14:paraId="0000004F">
      <w:pPr>
        <w:numPr>
          <w:ilvl w:val="2"/>
          <w:numId w:val="1"/>
        </w:numPr>
        <w:ind w:left="216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Relevance of the information: Is disclosing necessary? Why do they need this information?</w:t>
      </w:r>
    </w:p>
    <w:p w:rsidR="00000000" w:rsidDel="00000000" w:rsidP="00000000" w:rsidRDefault="00000000" w:rsidRPr="00000000" w14:paraId="00000050">
      <w:pPr>
        <w:numPr>
          <w:ilvl w:val="2"/>
          <w:numId w:val="1"/>
        </w:numPr>
        <w:ind w:left="216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Apparentness of their disability: If they can’t notice it, why should I tell them?</w:t>
      </w:r>
    </w:p>
    <w:p w:rsidR="00000000" w:rsidDel="00000000" w:rsidP="00000000" w:rsidRDefault="00000000" w:rsidRPr="00000000" w14:paraId="00000051">
      <w:pPr>
        <w:numPr>
          <w:ilvl w:val="1"/>
          <w:numId w:val="1"/>
        </w:numPr>
        <w:ind w:left="144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It’s critical to note that disclosure research tends to focus mainly on accommodations office disclosure, but this is not always the main purpose for students. There are many benefits and costs that cut across friendships, classroom instruction, field placements, campus participation, and more. </w:t>
      </w:r>
    </w:p>
    <w:p w:rsidR="00000000" w:rsidDel="00000000" w:rsidP="00000000" w:rsidRDefault="00000000" w:rsidRPr="00000000" w14:paraId="00000052">
      <w:pPr>
        <w:ind w:left="144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53">
      <w:pPr>
        <w:numPr>
          <w:ilvl w:val="0"/>
          <w:numId w:val="1"/>
        </w:numPr>
        <w:ind w:left="72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[POLL] ​​What are some topics or factors you think are most important to examine related to disclosure decision making?</w:t>
      </w:r>
    </w:p>
    <w:p w:rsidR="00000000" w:rsidDel="00000000" w:rsidP="00000000" w:rsidRDefault="00000000" w:rsidRPr="00000000" w14:paraId="00000054">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Previous experiences with disclosure</w:t>
      </w:r>
    </w:p>
    <w:p w:rsidR="00000000" w:rsidDel="00000000" w:rsidP="00000000" w:rsidRDefault="00000000" w:rsidRPr="00000000" w14:paraId="00000055">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Inaccessible learning environments</w:t>
      </w:r>
    </w:p>
    <w:p w:rsidR="00000000" w:rsidDel="00000000" w:rsidP="00000000" w:rsidRDefault="00000000" w:rsidRPr="00000000" w14:paraId="00000056">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Faculty preparation for disclosure</w:t>
      </w:r>
    </w:p>
    <w:p w:rsidR="00000000" w:rsidDel="00000000" w:rsidP="00000000" w:rsidRDefault="00000000" w:rsidRPr="00000000" w14:paraId="00000057">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Institutional responsiveness to requests</w:t>
      </w:r>
    </w:p>
    <w:p w:rsidR="00000000" w:rsidDel="00000000" w:rsidP="00000000" w:rsidRDefault="00000000" w:rsidRPr="00000000" w14:paraId="00000058">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Authentic expression of identity</w:t>
      </w:r>
    </w:p>
    <w:p w:rsidR="00000000" w:rsidDel="00000000" w:rsidP="00000000" w:rsidRDefault="00000000" w:rsidRPr="00000000" w14:paraId="00000059">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Student demographics that matter</w:t>
      </w:r>
    </w:p>
    <w:p w:rsidR="00000000" w:rsidDel="00000000" w:rsidP="00000000" w:rsidRDefault="00000000" w:rsidRPr="00000000" w14:paraId="0000005A">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Disclosure timing and purpose</w:t>
      </w:r>
    </w:p>
    <w:p w:rsidR="00000000" w:rsidDel="00000000" w:rsidP="00000000" w:rsidRDefault="00000000" w:rsidRPr="00000000" w14:paraId="0000005B">
      <w:pPr>
        <w:ind w:left="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5C">
      <w:pPr>
        <w:numPr>
          <w:ilvl w:val="0"/>
          <w:numId w:val="1"/>
        </w:numPr>
        <w:ind w:left="72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Panel Discussion </w:t>
      </w:r>
    </w:p>
    <w:p w:rsidR="00000000" w:rsidDel="00000000" w:rsidP="00000000" w:rsidRDefault="00000000" w:rsidRPr="00000000" w14:paraId="0000005D">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Dalton Kendrick, MSEd</w:t>
      </w:r>
    </w:p>
    <w:p w:rsidR="00000000" w:rsidDel="00000000" w:rsidP="00000000" w:rsidRDefault="00000000" w:rsidRPr="00000000" w14:paraId="0000005E">
      <w:pPr>
        <w:numPr>
          <w:ilvl w:val="2"/>
          <w:numId w:val="1"/>
        </w:numPr>
        <w:ind w:left="216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Graduate Student, UT College of Education</w:t>
      </w:r>
    </w:p>
    <w:p w:rsidR="00000000" w:rsidDel="00000000" w:rsidP="00000000" w:rsidRDefault="00000000" w:rsidRPr="00000000" w14:paraId="0000005F">
      <w:pPr>
        <w:numPr>
          <w:ilvl w:val="2"/>
          <w:numId w:val="1"/>
        </w:numPr>
        <w:ind w:left="216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Research Assistant, National Disability Center</w:t>
      </w:r>
    </w:p>
    <w:p w:rsidR="00000000" w:rsidDel="00000000" w:rsidP="00000000" w:rsidRDefault="00000000" w:rsidRPr="00000000" w14:paraId="00000060">
      <w:pPr>
        <w:ind w:left="216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61">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Soren, MA</w:t>
      </w:r>
    </w:p>
    <w:p w:rsidR="00000000" w:rsidDel="00000000" w:rsidP="00000000" w:rsidRDefault="00000000" w:rsidRPr="00000000" w14:paraId="00000062">
      <w:pPr>
        <w:numPr>
          <w:ilvl w:val="2"/>
          <w:numId w:val="1"/>
        </w:numPr>
        <w:ind w:left="216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Graduate Student, UT College of Education</w:t>
      </w:r>
    </w:p>
    <w:p w:rsidR="00000000" w:rsidDel="00000000" w:rsidP="00000000" w:rsidRDefault="00000000" w:rsidRPr="00000000" w14:paraId="00000063">
      <w:pPr>
        <w:numPr>
          <w:ilvl w:val="2"/>
          <w:numId w:val="1"/>
        </w:numPr>
        <w:ind w:left="216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Student Fellow, National Disability Center</w:t>
      </w:r>
    </w:p>
    <w:p w:rsidR="00000000" w:rsidDel="00000000" w:rsidP="00000000" w:rsidRDefault="00000000" w:rsidRPr="00000000" w14:paraId="00000064">
      <w:pPr>
        <w:ind w:left="216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65">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Ife Adekoya</w:t>
      </w:r>
    </w:p>
    <w:p w:rsidR="00000000" w:rsidDel="00000000" w:rsidP="00000000" w:rsidRDefault="00000000" w:rsidRPr="00000000" w14:paraId="00000066">
      <w:pPr>
        <w:numPr>
          <w:ilvl w:val="2"/>
          <w:numId w:val="1"/>
        </w:numPr>
        <w:ind w:left="216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Undergraduate Student, UT College of Liberal Arts</w:t>
      </w:r>
    </w:p>
    <w:p w:rsidR="00000000" w:rsidDel="00000000" w:rsidP="00000000" w:rsidRDefault="00000000" w:rsidRPr="00000000" w14:paraId="00000067">
      <w:pPr>
        <w:numPr>
          <w:ilvl w:val="2"/>
          <w:numId w:val="1"/>
        </w:numPr>
        <w:ind w:left="216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Student Fellow, National Disability Center</w:t>
      </w:r>
    </w:p>
    <w:p w:rsidR="00000000" w:rsidDel="00000000" w:rsidP="00000000" w:rsidRDefault="00000000" w:rsidRPr="00000000" w14:paraId="00000068">
      <w:pPr>
        <w:ind w:left="216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69">
      <w:pPr>
        <w:numPr>
          <w:ilvl w:val="1"/>
          <w:numId w:val="1"/>
        </w:numPr>
        <w:ind w:left="144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Jaxsen Day, MA</w:t>
      </w:r>
    </w:p>
    <w:p w:rsidR="00000000" w:rsidDel="00000000" w:rsidP="00000000" w:rsidRDefault="00000000" w:rsidRPr="00000000" w14:paraId="0000006A">
      <w:pPr>
        <w:numPr>
          <w:ilvl w:val="2"/>
          <w:numId w:val="1"/>
        </w:numPr>
        <w:ind w:left="216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Graduate Student, UT iSchool</w:t>
      </w:r>
    </w:p>
    <w:p w:rsidR="00000000" w:rsidDel="00000000" w:rsidP="00000000" w:rsidRDefault="00000000" w:rsidRPr="00000000" w14:paraId="0000006B">
      <w:pPr>
        <w:ind w:left="216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6C">
      <w:pPr>
        <w:numPr>
          <w:ilvl w:val="0"/>
          <w:numId w:val="1"/>
        </w:numPr>
        <w:ind w:left="720" w:hanging="360"/>
        <w:rPr>
          <w:rFonts w:ascii="Quicksand" w:cs="Quicksand" w:eastAsia="Quicksand" w:hAnsi="Quicksand"/>
          <w:sz w:val="28"/>
          <w:szCs w:val="28"/>
          <w:u w:val="none"/>
        </w:rPr>
      </w:pPr>
      <w:r w:rsidDel="00000000" w:rsidR="00000000" w:rsidRPr="00000000">
        <w:rPr>
          <w:rFonts w:ascii="Quicksand" w:cs="Quicksand" w:eastAsia="Quicksand" w:hAnsi="Quicksand"/>
          <w:sz w:val="28"/>
          <w:szCs w:val="28"/>
          <w:rtl w:val="0"/>
        </w:rPr>
        <w:t xml:space="preserve">Q&amp;A</w:t>
      </w:r>
    </w:p>
    <w:p w:rsidR="00000000" w:rsidDel="00000000" w:rsidP="00000000" w:rsidRDefault="00000000" w:rsidRPr="00000000" w14:paraId="0000006D">
      <w:pPr>
        <w:ind w:left="72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6E">
      <w:pPr>
        <w:numPr>
          <w:ilvl w:val="0"/>
          <w:numId w:val="1"/>
        </w:numPr>
        <w:ind w:left="72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Share Your Feedback! </w:t>
      </w:r>
    </w:p>
    <w:p w:rsidR="00000000" w:rsidDel="00000000" w:rsidP="00000000" w:rsidRDefault="00000000" w:rsidRPr="00000000" w14:paraId="0000006F">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Evaluate this event below</w:t>
      </w:r>
    </w:p>
    <w:p w:rsidR="00000000" w:rsidDel="00000000" w:rsidP="00000000" w:rsidRDefault="00000000" w:rsidRPr="00000000" w14:paraId="00000070">
      <w:pPr>
        <w:numPr>
          <w:ilvl w:val="1"/>
          <w:numId w:val="1"/>
        </w:numPr>
        <w:ind w:left="1440" w:hanging="360"/>
        <w:rPr>
          <w:rFonts w:ascii="Quicksand" w:cs="Quicksand" w:eastAsia="Quicksand" w:hAnsi="Quicksand"/>
          <w:sz w:val="28"/>
          <w:szCs w:val="28"/>
        </w:rPr>
      </w:pPr>
      <w:hyperlink r:id="rId14">
        <w:r w:rsidDel="00000000" w:rsidR="00000000" w:rsidRPr="00000000">
          <w:rPr>
            <w:rFonts w:ascii="Quicksand" w:cs="Quicksand" w:eastAsia="Quicksand" w:hAnsi="Quicksand"/>
            <w:color w:val="1155cc"/>
            <w:sz w:val="28"/>
            <w:szCs w:val="28"/>
            <w:u w:val="single"/>
            <w:rtl w:val="0"/>
          </w:rPr>
          <w:t xml:space="preserve">https://meadowscenter.ca1.qualtrics.com/jfe/form/SV_7P1aIN5yrXiCeBo</w:t>
        </w:r>
      </w:hyperlink>
      <w:r w:rsidDel="00000000" w:rsidR="00000000" w:rsidRPr="00000000">
        <w:rPr>
          <w:rFonts w:ascii="Quicksand" w:cs="Quicksand" w:eastAsia="Quicksand" w:hAnsi="Quicksand"/>
          <w:sz w:val="28"/>
          <w:szCs w:val="28"/>
          <w:rtl w:val="0"/>
        </w:rPr>
        <w:t xml:space="preserve"> </w:t>
      </w:r>
    </w:p>
    <w:p w:rsidR="00000000" w:rsidDel="00000000" w:rsidP="00000000" w:rsidRDefault="00000000" w:rsidRPr="00000000" w14:paraId="00000071">
      <w:pPr>
        <w:ind w:left="144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72">
      <w:pPr>
        <w:numPr>
          <w:ilvl w:val="0"/>
          <w:numId w:val="1"/>
        </w:numPr>
        <w:ind w:left="72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Stay Connected​</w:t>
      </w:r>
    </w:p>
    <w:p w:rsidR="00000000" w:rsidDel="00000000" w:rsidP="00000000" w:rsidRDefault="00000000" w:rsidRPr="00000000" w14:paraId="00000073">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Join our Communications Network​</w:t>
      </w:r>
    </w:p>
    <w:p w:rsidR="00000000" w:rsidDel="00000000" w:rsidP="00000000" w:rsidRDefault="00000000" w:rsidRPr="00000000" w14:paraId="00000074">
      <w:pPr>
        <w:numPr>
          <w:ilvl w:val="2"/>
          <w:numId w:val="1"/>
        </w:numPr>
        <w:ind w:left="2160" w:hanging="360"/>
        <w:rPr>
          <w:rFonts w:ascii="Quicksand" w:cs="Quicksand" w:eastAsia="Quicksand" w:hAnsi="Quicksand"/>
          <w:sz w:val="28"/>
          <w:szCs w:val="28"/>
        </w:rPr>
      </w:pPr>
      <w:hyperlink r:id="rId15">
        <w:r w:rsidDel="00000000" w:rsidR="00000000" w:rsidRPr="00000000">
          <w:rPr>
            <w:rFonts w:ascii="Quicksand" w:cs="Quicksand" w:eastAsia="Quicksand" w:hAnsi="Quicksand"/>
            <w:color w:val="1155cc"/>
            <w:sz w:val="28"/>
            <w:szCs w:val="28"/>
            <w:u w:val="single"/>
            <w:rtl w:val="0"/>
          </w:rPr>
          <w:t xml:space="preserve">https://nationaldisabilitycenter.org/community/</w:t>
        </w:r>
      </w:hyperlink>
      <w:r w:rsidDel="00000000" w:rsidR="00000000" w:rsidRPr="00000000">
        <w:rPr>
          <w:rFonts w:ascii="Quicksand" w:cs="Quicksand" w:eastAsia="Quicksand" w:hAnsi="Quicksand"/>
          <w:sz w:val="28"/>
          <w:szCs w:val="28"/>
          <w:rtl w:val="0"/>
        </w:rPr>
        <w:t xml:space="preserve"> </w:t>
      </w:r>
    </w:p>
    <w:p w:rsidR="00000000" w:rsidDel="00000000" w:rsidP="00000000" w:rsidRDefault="00000000" w:rsidRPr="00000000" w14:paraId="00000075">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Subscribe to our LinkedIn Newsletter</w:t>
      </w:r>
    </w:p>
    <w:p w:rsidR="00000000" w:rsidDel="00000000" w:rsidP="00000000" w:rsidRDefault="00000000" w:rsidRPr="00000000" w14:paraId="00000076">
      <w:pPr>
        <w:numPr>
          <w:ilvl w:val="2"/>
          <w:numId w:val="1"/>
        </w:numPr>
        <w:ind w:left="2160" w:hanging="360"/>
        <w:rPr>
          <w:rFonts w:ascii="Quicksand" w:cs="Quicksand" w:eastAsia="Quicksand" w:hAnsi="Quicksand"/>
          <w:sz w:val="28"/>
          <w:szCs w:val="28"/>
        </w:rPr>
      </w:pPr>
      <w:hyperlink r:id="rId16">
        <w:r w:rsidDel="00000000" w:rsidR="00000000" w:rsidRPr="00000000">
          <w:rPr>
            <w:rFonts w:ascii="Quicksand" w:cs="Quicksand" w:eastAsia="Quicksand" w:hAnsi="Quicksand"/>
            <w:color w:val="1155cc"/>
            <w:sz w:val="28"/>
            <w:szCs w:val="28"/>
            <w:u w:val="single"/>
            <w:rtl w:val="0"/>
          </w:rPr>
          <w:t xml:space="preserve">https://www.linkedin.com/pulse/introducing-access-action-national-disability-center-tq1fc/?trackingId=%2F%2FypAfUJShCYxx7SMZxFnQ%3D%3D</w:t>
        </w:r>
      </w:hyperlink>
      <w:r w:rsidDel="00000000" w:rsidR="00000000" w:rsidRPr="00000000">
        <w:rPr>
          <w:rFonts w:ascii="Quicksand" w:cs="Quicksand" w:eastAsia="Quicksand" w:hAnsi="Quicksand"/>
          <w:color w:val="ff0000"/>
          <w:sz w:val="28"/>
          <w:szCs w:val="28"/>
          <w:rtl w:val="0"/>
        </w:rPr>
        <w:t xml:space="preserve"> </w:t>
      </w:r>
      <w:r w:rsidDel="00000000" w:rsidR="00000000" w:rsidRPr="00000000">
        <w:rPr>
          <w:rtl w:val="0"/>
        </w:rPr>
      </w:r>
    </w:p>
    <w:p w:rsidR="00000000" w:rsidDel="00000000" w:rsidP="00000000" w:rsidRDefault="00000000" w:rsidRPr="00000000" w14:paraId="00000077">
      <w:pPr>
        <w:numPr>
          <w:ilvl w:val="1"/>
          <w:numId w:val="1"/>
        </w:numPr>
        <w:ind w:left="144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Find us at AERA 2026, April 8 - 12</w:t>
      </w:r>
    </w:p>
    <w:p w:rsidR="00000000" w:rsidDel="00000000" w:rsidP="00000000" w:rsidRDefault="00000000" w:rsidRPr="00000000" w14:paraId="00000078">
      <w:pPr>
        <w:numPr>
          <w:ilvl w:val="2"/>
          <w:numId w:val="1"/>
        </w:numPr>
        <w:ind w:left="2160" w:hanging="360"/>
        <w:rPr>
          <w:rFonts w:ascii="Quicksand" w:cs="Quicksand" w:eastAsia="Quicksand" w:hAnsi="Quicksand"/>
          <w:sz w:val="28"/>
          <w:szCs w:val="28"/>
          <w:u w:val="none"/>
        </w:rPr>
      </w:pPr>
      <w:hyperlink r:id="rId17">
        <w:r w:rsidDel="00000000" w:rsidR="00000000" w:rsidRPr="00000000">
          <w:rPr>
            <w:rFonts w:ascii="Quicksand" w:cs="Quicksand" w:eastAsia="Quicksand" w:hAnsi="Quicksand"/>
            <w:color w:val="1155cc"/>
            <w:sz w:val="28"/>
            <w:szCs w:val="28"/>
            <w:u w:val="single"/>
            <w:rtl w:val="0"/>
          </w:rPr>
          <w:t xml:space="preserve">https://nationaldisabilitycenter.org/news/center-research-takes-the-stage-at-aera-2026/</w:t>
        </w:r>
      </w:hyperlink>
      <w:r w:rsidDel="00000000" w:rsidR="00000000" w:rsidRPr="00000000">
        <w:rPr>
          <w:rFonts w:ascii="Quicksand" w:cs="Quicksand" w:eastAsia="Quicksand" w:hAnsi="Quicksand"/>
          <w:sz w:val="28"/>
          <w:szCs w:val="28"/>
          <w:rtl w:val="0"/>
        </w:rPr>
        <w:t xml:space="preserve"> </w:t>
      </w:r>
    </w:p>
    <w:p w:rsidR="00000000" w:rsidDel="00000000" w:rsidP="00000000" w:rsidRDefault="00000000" w:rsidRPr="00000000" w14:paraId="00000079">
      <w:pPr>
        <w:ind w:left="1440" w:firstLine="0"/>
        <w:rPr>
          <w:rFonts w:ascii="Quicksand" w:cs="Quicksand" w:eastAsia="Quicksand" w:hAnsi="Quicksand"/>
          <w:sz w:val="28"/>
          <w:szCs w:val="28"/>
        </w:rPr>
      </w:pPr>
      <w:r w:rsidDel="00000000" w:rsidR="00000000" w:rsidRPr="00000000">
        <w:rPr>
          <w:rtl w:val="0"/>
        </w:rPr>
      </w:r>
    </w:p>
    <w:p w:rsidR="00000000" w:rsidDel="00000000" w:rsidP="00000000" w:rsidRDefault="00000000" w:rsidRPr="00000000" w14:paraId="0000007A">
      <w:pPr>
        <w:numPr>
          <w:ilvl w:val="0"/>
          <w:numId w:val="1"/>
        </w:numPr>
        <w:ind w:left="720" w:hanging="360"/>
        <w:rPr>
          <w:rFonts w:ascii="Quicksand" w:cs="Quicksand" w:eastAsia="Quicksand" w:hAnsi="Quicksand"/>
          <w:sz w:val="28"/>
          <w:szCs w:val="28"/>
        </w:rPr>
      </w:pPr>
      <w:r w:rsidDel="00000000" w:rsidR="00000000" w:rsidRPr="00000000">
        <w:rPr>
          <w:rFonts w:ascii="Quicksand" w:cs="Quicksand" w:eastAsia="Quicksand" w:hAnsi="Quicksand"/>
          <w:sz w:val="28"/>
          <w:szCs w:val="28"/>
          <w:rtl w:val="0"/>
        </w:rPr>
        <w:t xml:space="preserve">Thank You!</w:t>
      </w:r>
      <w:r w:rsidDel="00000000" w:rsidR="00000000" w:rsidRPr="00000000">
        <w:rPr>
          <w:rtl w:val="0"/>
        </w:rPr>
      </w:r>
    </w:p>
    <w:sectPr>
      <w:headerReference r:id="rId18" w:type="default"/>
      <w:headerReference r:id="rId19" w:type="first"/>
      <w:footerReference r:id="rId2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ed Hat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cksan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jc w:val="center"/>
      <w:rPr/>
    </w:pPr>
    <w:r w:rsidDel="00000000" w:rsidR="00000000" w:rsidRPr="00000000">
      <w:rPr/>
      <w:drawing>
        <wp:inline distB="114300" distT="114300" distL="114300" distR="114300">
          <wp:extent cx="1883229" cy="823913"/>
          <wp:effectExtent b="0" l="0" r="0" t="0"/>
          <wp:docPr descr="Vertical logo of a icon with thick dark blue line that loops in a circle in the middle and curves down and upward at each end. Above the line are four dark green spear-shaped leaves arranged in an arc over the loop. The text at the bottom of this icon reads National Disability Center in dark blue and beneath that for Student Success in green." id="1" name="image1.png"/>
          <a:graphic>
            <a:graphicData uri="http://schemas.openxmlformats.org/drawingml/2006/picture">
              <pic:pic>
                <pic:nvPicPr>
                  <pic:cNvPr descr="Vertical logo of a icon with thick dark blue line that loops in a circle in the middle and curves down and upward at each end. Above the line are four dark green spear-shaped leaves arranged in an arc over the loop. The text at the bottom of this icon reads National Disability Center in dark blue and beneath that for Student Success in green." id="0" name="image1.png"/>
                  <pic:cNvPicPr preferRelativeResize="0"/>
                </pic:nvPicPr>
                <pic:blipFill>
                  <a:blip r:embed="rId1"/>
                  <a:srcRect b="0" l="0" r="0" t="0"/>
                  <a:stretch>
                    <a:fillRect/>
                  </a:stretch>
                </pic:blipFill>
                <pic:spPr>
                  <a:xfrm>
                    <a:off x="0" y="0"/>
                    <a:ext cx="1883229" cy="8239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nationaldisabilitycenter.org/resources/a-national-report-on-faculty-accessibility-practices/" TargetMode="External"/><Relationship Id="rId10" Type="http://schemas.openxmlformats.org/officeDocument/2006/relationships/hyperlink" Target="https://nationaldisabilitycenter.org/resource-type/campus-spotlights/" TargetMode="External"/><Relationship Id="rId13" Type="http://schemas.openxmlformats.org/officeDocument/2006/relationships/hyperlink" Target="https://nationaldisabilitycenter.org/resources/faculty-accessibility-scenarios/" TargetMode="External"/><Relationship Id="rId12" Type="http://schemas.openxmlformats.org/officeDocument/2006/relationships/hyperlink" Target="https://nationaldisabilitycenter.org/resources/workshop-kit-the-accommodations-convers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tionaldisabilitycenter.org/research/" TargetMode="External"/><Relationship Id="rId15" Type="http://schemas.openxmlformats.org/officeDocument/2006/relationships/hyperlink" Target="https://nationaldisabilitycenter.org/community/" TargetMode="External"/><Relationship Id="rId14" Type="http://schemas.openxmlformats.org/officeDocument/2006/relationships/hyperlink" Target="https://meadowscenter.ca1.qualtrics.com/jfe/form/SV_7P1aIN5yrXiCeBo" TargetMode="External"/><Relationship Id="rId17" Type="http://schemas.openxmlformats.org/officeDocument/2006/relationships/hyperlink" Target="https://nationaldisabilitycenter.org/news/center-research-takes-the-stage-at-aera-2026/" TargetMode="External"/><Relationship Id="rId16" Type="http://schemas.openxmlformats.org/officeDocument/2006/relationships/hyperlink" Target="https://www.linkedin.com/pulse/introducing-access-action-national-disability-center-tq1fc/?trackingId=%2F%2FypAfUJShCYxx7SMZxFnQ%3D%3D"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s://nationaldisabilitycenter.org/wp-content/uploads/2026/03/Spring-2026-Townhall-4.pptx" TargetMode="External"/><Relationship Id="rId18" Type="http://schemas.openxmlformats.org/officeDocument/2006/relationships/header" Target="header1.xml"/><Relationship Id="rId7" Type="http://schemas.openxmlformats.org/officeDocument/2006/relationships/hyperlink" Target="https://nationaldisabilitycenter.org/event-access/" TargetMode="External"/><Relationship Id="rId8" Type="http://schemas.openxmlformats.org/officeDocument/2006/relationships/hyperlink" Target="https://nationaldisabilitycenter.org/courses/module-one-foundations-on-disabled-students-in-higher-education-in-the-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edHatDisplay-regular.ttf"/><Relationship Id="rId2" Type="http://schemas.openxmlformats.org/officeDocument/2006/relationships/font" Target="fonts/RedHatDisplay-bold.ttf"/><Relationship Id="rId3" Type="http://schemas.openxmlformats.org/officeDocument/2006/relationships/font" Target="fonts/RedHatDisplay-italic.ttf"/><Relationship Id="rId4" Type="http://schemas.openxmlformats.org/officeDocument/2006/relationships/font" Target="fonts/RedHatDisplay-boldItalic.ttf"/><Relationship Id="rId5" Type="http://schemas.openxmlformats.org/officeDocument/2006/relationships/font" Target="fonts/Quicksand-regular.ttf"/><Relationship Id="rId6" Type="http://schemas.openxmlformats.org/officeDocument/2006/relationships/font" Target="fonts/Quicksand-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